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Sensor summary comparison</w:t>
      </w:r>
    </w:p>
    <w:p>
      <w:r>
        <w:rPr>
          <w:b/>
          <w:color w:val="B4462D"/>
        </w:rPr>
        <w:t>FICTIONAL SAMPLE DATA — NOT A FIELD TRIAL</w:t>
      </w:r>
    </w:p>
    <w:p>
      <w:pPr>
        <w:pStyle w:val="Heading1"/>
      </w:pPr>
      <w:r>
        <w:t>Meeting takeaway</w:t>
      </w:r>
    </w:p>
    <w:p>
      <w:r>
        <w:t>Across three fictional station summaries, follow-up values are lower at A (18 to 16), higher at B (17 to 24), and slightly higher at C (18 to 19). Station B has the largest observed increase (+7 arbitrary units); A decreases by 2 and C increases by 1. These are descriptive differences only: the summaries do not establish why values changed or whether the changes are meaningful.</w:t>
      </w:r>
    </w:p>
    <w:p>
      <w:pPr>
        <w:pStyle w:val="Heading1"/>
      </w:pPr>
      <w:r>
        <w:t>Comparison</w:t>
      </w:r>
    </w:p>
    <w:p>
      <w:r>
        <w:drawing>
          <wp:inline xmlns:a="http://schemas.openxmlformats.org/drawingml/2006/main" xmlns:pic="http://schemas.openxmlformats.org/drawingml/2006/picture">
            <wp:extent cx="6263640" cy="27142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nsor-comparis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714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1. Baseline and follow-up station summaries. Source: sources/sensor-summary.json; 12 readings per station. Values are in arbitrary units.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Station</w:t>
            </w:r>
          </w:p>
        </w:tc>
        <w:tc>
          <w:tcPr>
            <w:tcW w:type="dxa" w:w="2520"/>
          </w:tcPr>
          <w:p>
            <w:r>
              <w:t>n</w:t>
            </w:r>
          </w:p>
        </w:tc>
        <w:tc>
          <w:tcPr>
            <w:tcW w:type="dxa" w:w="2520"/>
          </w:tcPr>
          <w:p>
            <w:r>
              <w:t>Baseline → follow-up</w:t>
            </w:r>
          </w:p>
        </w:tc>
        <w:tc>
          <w:tcPr>
            <w:tcW w:type="dxa" w:w="2520"/>
          </w:tcPr>
          <w:p>
            <w:r>
              <w:t>Difference</w:t>
            </w:r>
          </w:p>
        </w:tc>
      </w:tr>
      <w:tr>
        <w:tc>
          <w:tcPr>
            <w:tcW w:type="dxa" w:w="2520"/>
          </w:tcPr>
          <w:p>
            <w:r>
              <w:t>A</w:t>
            </w:r>
          </w:p>
        </w:tc>
        <w:tc>
          <w:tcPr>
            <w:tcW w:type="dxa" w:w="2520"/>
          </w:tcPr>
          <w:p>
            <w:r>
              <w:t>12</w:t>
            </w:r>
          </w:p>
        </w:tc>
        <w:tc>
          <w:tcPr>
            <w:tcW w:type="dxa" w:w="2520"/>
          </w:tcPr>
          <w:p>
            <w:r>
              <w:t>18 → 16</w:t>
            </w:r>
          </w:p>
        </w:tc>
        <w:tc>
          <w:tcPr>
            <w:tcW w:type="dxa" w:w="2520"/>
          </w:tcPr>
          <w:p>
            <w:r>
              <w:t>−2</w:t>
            </w:r>
          </w:p>
        </w:tc>
      </w:tr>
      <w:tr>
        <w:tc>
          <w:tcPr>
            <w:tcW w:type="dxa" w:w="2520"/>
          </w:tcPr>
          <w:p>
            <w:r>
              <w:t>B</w:t>
            </w:r>
          </w:p>
        </w:tc>
        <w:tc>
          <w:tcPr>
            <w:tcW w:type="dxa" w:w="2520"/>
          </w:tcPr>
          <w:p>
            <w:r>
              <w:t>12</w:t>
            </w:r>
          </w:p>
        </w:tc>
        <w:tc>
          <w:tcPr>
            <w:tcW w:type="dxa" w:w="2520"/>
          </w:tcPr>
          <w:p>
            <w:r>
              <w:t>17 → 24</w:t>
            </w:r>
          </w:p>
        </w:tc>
        <w:tc>
          <w:tcPr>
            <w:tcW w:type="dxa" w:w="2520"/>
          </w:tcPr>
          <w:p>
            <w:r>
              <w:t>+7</w:t>
            </w:r>
          </w:p>
        </w:tc>
      </w:tr>
      <w:tr>
        <w:tc>
          <w:tcPr>
            <w:tcW w:type="dxa" w:w="2520"/>
          </w:tcPr>
          <w:p>
            <w:r>
              <w:t>C</w:t>
            </w:r>
          </w:p>
        </w:tc>
        <w:tc>
          <w:tcPr>
            <w:tcW w:type="dxa" w:w="2520"/>
          </w:tcPr>
          <w:p>
            <w:r>
              <w:t>12</w:t>
            </w:r>
          </w:p>
        </w:tc>
        <w:tc>
          <w:tcPr>
            <w:tcW w:type="dxa" w:w="2520"/>
          </w:tcPr>
          <w:p>
            <w:r>
              <w:t>18 → 19</w:t>
            </w:r>
          </w:p>
        </w:tc>
        <w:tc>
          <w:tcPr>
            <w:tcW w:type="dxa" w:w="2520"/>
          </w:tcPr>
          <w:p>
            <w:r>
              <w:t>+1</w:t>
            </w:r>
          </w:p>
        </w:tc>
      </w:tr>
    </w:tbl>
    <w:p>
      <w:pPr/>
      <w:r>
        <w:t>The counts are reported as readings, but the source does not say whether baseline and follow-up observations are paired, independent, or how they were aggregated. No pooled estimate is calculated.</w:t>
      </w:r>
    </w:p>
    <w:p>
      <w:r>
        <w:br w:type="page"/>
      </w:r>
    </w:p>
    <w:p>
      <w:pPr>
        <w:pStyle w:val="Title"/>
      </w:pPr>
      <w:r>
        <w:t>Interpretation, limitations &amp; next steps</w:t>
      </w:r>
    </w:p>
    <w:p>
      <w:r>
        <w:t>What this supports. The summaries support a clear ordering of the supplied station-level values and a comparison of their reported baseline and follow-up figures. They are useful for planning what evidence to request next—not for evaluating sensor performance or attributing change to an intervention.</w:t>
      </w:r>
    </w:p>
    <w:p>
      <w:pPr>
        <w:pStyle w:val="Heading1"/>
      </w:pPr>
      <w:r>
        <w:t>Limitations</w:t>
      </w:r>
    </w:p>
    <w:p>
      <w:pPr>
        <w:pStyle w:val="ListBullet"/>
      </w:pPr>
      <w:r>
        <w:t>No raw individual readings or timestamps are supplied, so distribution, outliers, temporal patterns, pairing and aggregation cannot be checked.</w:t>
      </w:r>
    </w:p>
    <w:p>
      <w:pPr>
        <w:pStyle w:val="ListBullet"/>
      </w:pPr>
      <w:r>
        <w:t>Calibration records, measurement units beyond “arbitrary units,” and matched environmental conditions are absent; differences may reflect measurement or context rather than a real underlying change.</w:t>
      </w:r>
    </w:p>
    <w:p>
      <w:pPr>
        <w:pStyle w:val="ListBullet"/>
      </w:pPr>
      <w:r>
        <w:t>There is no uncertainty estimate, control assignment, or documented independent replication. The sample size label (12 readings per station) alone cannot establish precision or independence.</w:t>
      </w:r>
    </w:p>
    <w:p>
      <w:pPr>
        <w:pStyle w:val="ListBullet"/>
      </w:pPr>
      <w:r>
        <w:t>The source explicitly describes the data as synthetic and intended for document demonstration; do not present them as field evidence or claim a causal/treatment effect.</w:t>
      </w:r>
    </w:p>
    <w:p>
      <w:pPr>
        <w:pStyle w:val="Heading1"/>
      </w:pPr>
      <w:r>
        <w:t>Recommended next steps</w:t>
      </w:r>
    </w:p>
    <w:p>
      <w:r>
        <w:rPr>
          <w:b/>
        </w:rPr>
        <w:t xml:space="preserve">1. Obtain provenance — </w:t>
      </w:r>
      <w:r>
        <w:t>Request original timestamped readings, the data dictionary and the calculation/aggregation method for each summary.</w:t>
      </w:r>
    </w:p>
    <w:p>
      <w:r>
        <w:rPr>
          <w:b/>
        </w:rPr>
        <w:t xml:space="preserve">2. Verify measurement quality — </w:t>
      </w:r>
      <w:r>
        <w:t>Collect sensor IDs, calibration certificates and maintenance history; confirm units and check for drift or missing values.</w:t>
      </w:r>
    </w:p>
    <w:p>
      <w:r>
        <w:rPr>
          <w:b/>
        </w:rPr>
        <w:t xml:space="preserve">3. Match conditions — </w:t>
      </w:r>
      <w:r>
        <w:t>Record environmental and operational conditions at each observation and clarify whether baseline/follow-up readings are paired.</w:t>
      </w:r>
    </w:p>
    <w:p>
      <w:r>
        <w:rPr>
          <w:b/>
        </w:rPr>
        <w:t xml:space="preserve">4. Analyze transparently — </w:t>
      </w:r>
      <w:r>
        <w:t>Review raw data, plot paired observations where appropriate, assess uncertainty and document exclusions before interpreting differences.</w:t>
      </w:r>
    </w:p>
    <w:p>
      <w:r>
        <w:rPr>
          <w:b/>
        </w:rPr>
        <w:t xml:space="preserve">5. Decide after review — </w:t>
      </w:r>
      <w:r>
        <w:t>Only consider causal interpretation if the design, controls and replication support it; otherwise report descriptive associations with caveats.</w:t>
      </w:r>
    </w:p>
    <w:p>
      <w:pPr>
        <w:pStyle w:val="Heading1"/>
      </w:pPr>
      <w:r>
        <w:t>Source basis</w:t>
      </w:r>
    </w:p>
    <w:p>
      <w:pPr/>
      <w:r>
        <w:t>Prepared from sources/sensor-notes.md and sources/sensor-summary.json. Both identify this as fictional synthetic sample data. Original source files were not modified.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FICTIONAL SAMPLE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1688E"/>
      </w:rPr>
      <w:t>SENSOR REVIEW  |  TEAM MEETING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D374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1688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24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